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31" w:rsidRDefault="00184E31" w:rsidP="00184E31">
      <w:pPr>
        <w:pStyle w:val="NoSpacing"/>
        <w:rPr>
          <w:sz w:val="20"/>
          <w:szCs w:val="20"/>
        </w:rPr>
      </w:pPr>
      <w:r>
        <w:rPr>
          <w:sz w:val="20"/>
          <w:szCs w:val="20"/>
        </w:rPr>
        <w:t>Date</w:t>
      </w:r>
    </w:p>
    <w:p w:rsidR="00184E31" w:rsidRDefault="00184E31" w:rsidP="00184E31">
      <w:pPr>
        <w:pStyle w:val="NoSpacing"/>
        <w:rPr>
          <w:sz w:val="20"/>
          <w:szCs w:val="20"/>
        </w:rPr>
      </w:pPr>
    </w:p>
    <w:p w:rsidR="00184E31" w:rsidRDefault="00184E31" w:rsidP="00184E31">
      <w:pPr>
        <w:pStyle w:val="NoSpacing"/>
        <w:rPr>
          <w:sz w:val="20"/>
          <w:szCs w:val="20"/>
        </w:rPr>
      </w:pPr>
      <w:r w:rsidRPr="008955F0">
        <w:rPr>
          <w:sz w:val="20"/>
          <w:szCs w:val="20"/>
        </w:rPr>
        <w:t>The H</w:t>
      </w:r>
      <w:r>
        <w:rPr>
          <w:sz w:val="20"/>
          <w:szCs w:val="20"/>
        </w:rPr>
        <w:t>onorable ***</w:t>
      </w:r>
    </w:p>
    <w:p w:rsidR="00184E31" w:rsidRDefault="00184E31" w:rsidP="00184E31">
      <w:pPr>
        <w:pStyle w:val="NoSpacing"/>
        <w:rPr>
          <w:sz w:val="20"/>
          <w:szCs w:val="20"/>
        </w:rPr>
      </w:pPr>
      <w:r>
        <w:rPr>
          <w:sz w:val="20"/>
          <w:szCs w:val="20"/>
        </w:rPr>
        <w:t>U.S. Senator/Member of Congress</w:t>
      </w:r>
    </w:p>
    <w:p w:rsidR="00184E31" w:rsidRDefault="00184E31" w:rsidP="00184E31">
      <w:pPr>
        <w:pStyle w:val="NoSpacing"/>
        <w:rPr>
          <w:sz w:val="20"/>
          <w:szCs w:val="20"/>
        </w:rPr>
      </w:pPr>
      <w:r>
        <w:rPr>
          <w:sz w:val="20"/>
          <w:szCs w:val="20"/>
        </w:rPr>
        <w:t>Address line 1</w:t>
      </w:r>
    </w:p>
    <w:p w:rsidR="00184E31" w:rsidRDefault="00184E31" w:rsidP="00184E31">
      <w:pPr>
        <w:pStyle w:val="NoSpacing"/>
        <w:rPr>
          <w:sz w:val="20"/>
          <w:szCs w:val="20"/>
        </w:rPr>
      </w:pPr>
      <w:r>
        <w:rPr>
          <w:sz w:val="20"/>
          <w:szCs w:val="20"/>
        </w:rPr>
        <w:t>Address line 2</w:t>
      </w:r>
    </w:p>
    <w:p w:rsidR="00184E31" w:rsidRDefault="00184E31" w:rsidP="00184E31">
      <w:pPr>
        <w:pStyle w:val="NoSpacing"/>
        <w:rPr>
          <w:rFonts w:eastAsia="Calibri" w:cs="Times New Roman"/>
          <w:sz w:val="20"/>
          <w:szCs w:val="20"/>
        </w:rPr>
      </w:pPr>
    </w:p>
    <w:p w:rsidR="00184E31" w:rsidRPr="00FA0E65" w:rsidRDefault="00184E31" w:rsidP="00184E31">
      <w:pPr>
        <w:spacing w:after="240"/>
        <w:rPr>
          <w:rFonts w:eastAsia="Calibri" w:cs="Times New Roman"/>
          <w:sz w:val="20"/>
          <w:szCs w:val="20"/>
        </w:rPr>
      </w:pPr>
      <w:r w:rsidRPr="00FA0E65">
        <w:rPr>
          <w:rFonts w:eastAsia="Calibri" w:cs="Times New Roman"/>
          <w:sz w:val="20"/>
          <w:szCs w:val="20"/>
        </w:rPr>
        <w:t>Dear Congressman/Senator ***:</w:t>
      </w:r>
    </w:p>
    <w:p w:rsidR="00184E31" w:rsidRPr="00F61FA2" w:rsidRDefault="00184E31" w:rsidP="00184E31">
      <w:pPr>
        <w:pStyle w:val="ListParagraph"/>
        <w:numPr>
          <w:ilvl w:val="0"/>
          <w:numId w:val="1"/>
        </w:numPr>
        <w:tabs>
          <w:tab w:val="clear" w:pos="1350"/>
          <w:tab w:val="num" w:pos="0"/>
          <w:tab w:val="left" w:pos="180"/>
        </w:tabs>
        <w:spacing w:after="240" w:line="240" w:lineRule="auto"/>
        <w:ind w:left="0"/>
        <w:jc w:val="both"/>
        <w:rPr>
          <w:rFonts w:eastAsia="Calibri" w:cs="Times New Roman"/>
          <w:sz w:val="20"/>
          <w:szCs w:val="20"/>
        </w:rPr>
      </w:pPr>
      <w:r>
        <w:rPr>
          <w:rFonts w:eastAsia="Calibri" w:cs="Times New Roman"/>
          <w:sz w:val="20"/>
          <w:szCs w:val="20"/>
        </w:rPr>
        <w:t xml:space="preserve">I am reaching out as your constituent regarding proton therapy and the Centers for Medicare &amp; Medicaid Services (CMS) proposed rule for </w:t>
      </w:r>
      <w:r w:rsidRPr="00FA0E65">
        <w:rPr>
          <w:rFonts w:eastAsia="Calibri" w:cs="Times New Roman"/>
          <w:sz w:val="20"/>
          <w:szCs w:val="20"/>
        </w:rPr>
        <w:t>the Radiation Oncol</w:t>
      </w:r>
      <w:r>
        <w:rPr>
          <w:rFonts w:eastAsia="Calibri" w:cs="Times New Roman"/>
          <w:sz w:val="20"/>
          <w:szCs w:val="20"/>
        </w:rPr>
        <w:t>ogy Alternative Payment Model (RO Model</w:t>
      </w:r>
      <w:r w:rsidRPr="00FA0E65">
        <w:rPr>
          <w:rFonts w:eastAsia="Calibri" w:cs="Times New Roman"/>
          <w:sz w:val="20"/>
          <w:szCs w:val="20"/>
        </w:rPr>
        <w:t>)</w:t>
      </w:r>
      <w:r>
        <w:rPr>
          <w:rFonts w:eastAsia="Calibri" w:cs="Times New Roman"/>
          <w:sz w:val="20"/>
          <w:szCs w:val="20"/>
        </w:rPr>
        <w:t xml:space="preserve">. If finalized as proposed, CMS could force proton centers to close altogether, depriving cancer patients of a cancer treatment recommended by their physician.  I/we urge you to pressure CMS to revisit the proposed rule and revised its mischaracterization of proton therapy as low value which I/we believe does not reflect proton therapy’s value of providing precise treatments that reduce costly side effects and secondary malignancies for cancer survivors.  Proton therapy is high value because its targeted therapy improved my quality of life by reducing short- and long-term side effects </w:t>
      </w:r>
      <w:r w:rsidRPr="00422703">
        <w:rPr>
          <w:rFonts w:eastAsia="Calibri" w:cs="Times New Roman"/>
          <w:b/>
          <w:i/>
          <w:sz w:val="20"/>
          <w:szCs w:val="20"/>
        </w:rPr>
        <w:t xml:space="preserve">[insert personal reasons] </w:t>
      </w:r>
      <w:r>
        <w:rPr>
          <w:rFonts w:eastAsia="Calibri" w:cs="Times New Roman"/>
          <w:sz w:val="20"/>
          <w:szCs w:val="20"/>
        </w:rPr>
        <w:t xml:space="preserve">and reduced my risk of secondary cancers. Paying a provider below the cost of providing this treatment will reduce the ability for patients like me to receive this valuable treatment. </w:t>
      </w:r>
    </w:p>
    <w:p w:rsidR="00184E31" w:rsidRDefault="00184E31" w:rsidP="00184E31">
      <w:pPr>
        <w:spacing w:after="240"/>
        <w:rPr>
          <w:rFonts w:eastAsia="Calibri" w:cs="Times New Roman"/>
          <w:sz w:val="20"/>
          <w:szCs w:val="20"/>
        </w:rPr>
      </w:pPr>
      <w:r w:rsidRPr="00FA0E65">
        <w:rPr>
          <w:rFonts w:eastAsia="Calibri" w:cs="Times New Roman"/>
          <w:sz w:val="20"/>
          <w:szCs w:val="20"/>
        </w:rPr>
        <w:t xml:space="preserve">As currently proposed, the RO Model makes such drastic cuts to proton beam therapy reimbursement that the limited access to proton beam therapy could be further restricted, depriving Medicare beneficiaries and beyond access to a </w:t>
      </w:r>
      <w:r>
        <w:rPr>
          <w:rFonts w:eastAsia="Calibri" w:cs="Times New Roman"/>
          <w:sz w:val="20"/>
          <w:szCs w:val="20"/>
        </w:rPr>
        <w:t xml:space="preserve">clinically appropriate modality. </w:t>
      </w:r>
      <w:r w:rsidRPr="00FA0E65">
        <w:rPr>
          <w:rFonts w:eastAsia="Calibri" w:cs="Times New Roman"/>
          <w:sz w:val="20"/>
          <w:szCs w:val="20"/>
        </w:rPr>
        <w:t xml:space="preserve">Currently, thirty-two </w:t>
      </w:r>
      <w:r>
        <w:rPr>
          <w:rFonts w:eastAsia="Calibri" w:cs="Times New Roman"/>
          <w:sz w:val="20"/>
          <w:szCs w:val="20"/>
        </w:rPr>
        <w:t xml:space="preserve">proton therapy </w:t>
      </w:r>
      <w:r w:rsidRPr="00FA0E65">
        <w:rPr>
          <w:rFonts w:eastAsia="Calibri" w:cs="Times New Roman"/>
          <w:sz w:val="20"/>
          <w:szCs w:val="20"/>
        </w:rPr>
        <w:t xml:space="preserve">centers (with others under construction or development) rely upon reimbursement models from Medicare, Medicaid and private payers to support their on-going operations.  With upwards of a 50% reduction in reimbursements under the Proposed Rule, several centers will have to re-assess whether furnishing proton beam therapy is still a financially viable option. </w:t>
      </w:r>
      <w:r>
        <w:rPr>
          <w:rFonts w:eastAsia="Calibri" w:cs="Times New Roman"/>
          <w:sz w:val="20"/>
          <w:szCs w:val="20"/>
        </w:rPr>
        <w:t xml:space="preserve">It will also </w:t>
      </w:r>
      <w:r w:rsidRPr="00DA1FA9">
        <w:rPr>
          <w:rFonts w:cs="Times New Roman"/>
          <w:sz w:val="20"/>
          <w:szCs w:val="20"/>
        </w:rPr>
        <w:t>hinder the development of new center</w:t>
      </w:r>
      <w:r>
        <w:rPr>
          <w:rFonts w:cs="Times New Roman"/>
          <w:sz w:val="20"/>
          <w:szCs w:val="20"/>
        </w:rPr>
        <w:t xml:space="preserve">s </w:t>
      </w:r>
      <w:r w:rsidRPr="00DA1FA9">
        <w:rPr>
          <w:rFonts w:cs="Times New Roman"/>
          <w:sz w:val="20"/>
          <w:szCs w:val="20"/>
        </w:rPr>
        <w:t>continuing to limit access to rural and underserved communities.</w:t>
      </w:r>
    </w:p>
    <w:p w:rsidR="00184E31" w:rsidRPr="005F2DBC" w:rsidRDefault="00184E31" w:rsidP="00184E31">
      <w:pPr>
        <w:spacing w:after="240"/>
        <w:rPr>
          <w:rFonts w:eastAsia="Calibri" w:cs="Times New Roman"/>
          <w:sz w:val="20"/>
          <w:szCs w:val="20"/>
        </w:rPr>
      </w:pPr>
      <w:r w:rsidRPr="005F2DBC">
        <w:rPr>
          <w:rFonts w:eastAsia="Calibri" w:cs="Times New Roman"/>
          <w:sz w:val="20"/>
          <w:szCs w:val="20"/>
        </w:rPr>
        <w:t xml:space="preserve">In the Proposed Rule, CMS questioned the benefits of proton beam therapy relative given the higher costs to other, less expensive modalities. In support of its position, CMS cited the 2014 Institute for Clinical Economic Review (ICER) report conducted on behalf of the Washington State Health Care Technology Authority and the June 2018 </w:t>
      </w:r>
      <w:proofErr w:type="spellStart"/>
      <w:r w:rsidRPr="005F2DBC">
        <w:rPr>
          <w:rFonts w:eastAsia="Calibri" w:cs="Times New Roman"/>
          <w:sz w:val="20"/>
          <w:szCs w:val="20"/>
        </w:rPr>
        <w:t>MedPAC</w:t>
      </w:r>
      <w:proofErr w:type="spellEnd"/>
      <w:r w:rsidRPr="005F2DBC">
        <w:rPr>
          <w:rFonts w:eastAsia="Calibri" w:cs="Times New Roman"/>
          <w:sz w:val="20"/>
          <w:szCs w:val="20"/>
        </w:rPr>
        <w:t xml:space="preserve"> Report to Congress.</w:t>
      </w:r>
      <w:r>
        <w:rPr>
          <w:rFonts w:eastAsia="Calibri" w:cs="Times New Roman"/>
          <w:sz w:val="20"/>
          <w:szCs w:val="20"/>
          <w:vertAlign w:val="superscript"/>
        </w:rPr>
        <w:footnoteReference w:id="1"/>
      </w:r>
      <w:r w:rsidRPr="005F2DBC">
        <w:rPr>
          <w:rFonts w:eastAsia="Calibri" w:cs="Times New Roman"/>
          <w:sz w:val="20"/>
          <w:szCs w:val="20"/>
          <w:vertAlign w:val="superscript"/>
        </w:rPr>
        <w:t>,</w:t>
      </w:r>
      <w:r>
        <w:rPr>
          <w:rFonts w:eastAsia="Calibri" w:cs="Times New Roman"/>
          <w:sz w:val="20"/>
          <w:szCs w:val="20"/>
          <w:vertAlign w:val="superscript"/>
        </w:rPr>
        <w:footnoteReference w:id="2"/>
      </w:r>
      <w:r w:rsidRPr="005F2DBC">
        <w:rPr>
          <w:rFonts w:eastAsia="Calibri" w:cs="Times New Roman"/>
          <w:sz w:val="20"/>
          <w:szCs w:val="20"/>
        </w:rPr>
        <w:t xml:space="preserve"> </w:t>
      </w:r>
      <w:r>
        <w:rPr>
          <w:rFonts w:eastAsia="Calibri" w:cs="Times New Roman"/>
          <w:sz w:val="20"/>
          <w:szCs w:val="20"/>
        </w:rPr>
        <w:t>I/we</w:t>
      </w:r>
      <w:r w:rsidRPr="005F2DBC">
        <w:rPr>
          <w:rFonts w:eastAsia="Calibri" w:cs="Times New Roman"/>
          <w:sz w:val="20"/>
          <w:szCs w:val="20"/>
        </w:rPr>
        <w:t xml:space="preserve"> strongly disagree with this characterization of proton beam therapy as a modality with limited benefits vis-à-vis other modalities and believes the evidence demonstrates that proton beam therapy provides significant value to patients with common cancers.</w:t>
      </w:r>
    </w:p>
    <w:p w:rsidR="00184E31" w:rsidRPr="005F2DBC" w:rsidRDefault="00184E31" w:rsidP="00184E31">
      <w:pPr>
        <w:spacing w:after="240"/>
        <w:rPr>
          <w:rFonts w:eastAsia="Calibri" w:cs="Times New Roman"/>
          <w:sz w:val="20"/>
          <w:szCs w:val="20"/>
        </w:rPr>
      </w:pPr>
      <w:r w:rsidRPr="005F2DBC">
        <w:rPr>
          <w:rFonts w:eastAsia="Calibri" w:cs="Times New Roman"/>
          <w:sz w:val="20"/>
          <w:szCs w:val="20"/>
        </w:rPr>
        <w:t>Proton beam therapy has a proven history of improved outcomes over other treatments. It was cleared as a safe and effective treatment by the Food and Drug Administration (FDA) thirty-one years ago. A critical clinical benefit of proton beam therapy is the elimination of excess radiation to healthy tissues and organs, minimizing costly side effects and secondary tumors.</w:t>
      </w:r>
    </w:p>
    <w:p w:rsidR="00184E31" w:rsidRDefault="00184E31" w:rsidP="00184E31">
      <w:pPr>
        <w:spacing w:after="240"/>
        <w:rPr>
          <w:rFonts w:eastAsia="Calibri" w:cs="Times New Roman"/>
          <w:sz w:val="20"/>
          <w:szCs w:val="20"/>
        </w:rPr>
      </w:pPr>
      <w:r w:rsidRPr="005F2DBC">
        <w:rPr>
          <w:rFonts w:eastAsia="Calibri" w:cs="Times New Roman"/>
          <w:sz w:val="20"/>
          <w:szCs w:val="20"/>
        </w:rPr>
        <w:t xml:space="preserve">Not only does proton beam therapy minimize the exposure of surrounding healthy tissue to excess radiation, it also reduces the risk of complications.  In addition, proton therapy lowers the risk of secondary malignancies and may reduce the need for future additional tests and procedures </w:t>
      </w:r>
      <w:r>
        <w:rPr>
          <w:rFonts w:eastAsia="Calibri" w:cs="Times New Roman"/>
          <w:sz w:val="20"/>
          <w:szCs w:val="20"/>
        </w:rPr>
        <w:t>over a patient’s lifetime</w:t>
      </w:r>
      <w:r w:rsidRPr="005F2DBC">
        <w:rPr>
          <w:rFonts w:eastAsia="Calibri" w:cs="Times New Roman"/>
          <w:sz w:val="20"/>
          <w:szCs w:val="20"/>
        </w:rPr>
        <w:t>.</w:t>
      </w:r>
      <w:r>
        <w:rPr>
          <w:rFonts w:eastAsia="Calibri" w:cs="Times New Roman"/>
          <w:sz w:val="20"/>
          <w:szCs w:val="20"/>
          <w:vertAlign w:val="superscript"/>
        </w:rPr>
        <w:footnoteReference w:id="3"/>
      </w:r>
      <w:r w:rsidRPr="005F2DBC">
        <w:rPr>
          <w:rFonts w:eastAsia="Calibri" w:cs="Times New Roman"/>
          <w:sz w:val="20"/>
          <w:szCs w:val="20"/>
        </w:rPr>
        <w:t xml:space="preserve"> As cancer survival rates </w:t>
      </w:r>
      <w:r w:rsidRPr="005F2DBC">
        <w:rPr>
          <w:rFonts w:eastAsia="Calibri" w:cs="Times New Roman"/>
          <w:sz w:val="20"/>
          <w:szCs w:val="20"/>
        </w:rPr>
        <w:lastRenderedPageBreak/>
        <w:t>have increased significantly in the last 20 years, a diagnosis of cancer has become a chronic illness for many cancer patients.  It is more important than ever to reduce costly short- and long-term side effects of cancer treatment with care that is the least toxic and harmful to patients.</w:t>
      </w:r>
    </w:p>
    <w:p w:rsidR="00184E31" w:rsidRPr="008955F0" w:rsidRDefault="00184E31" w:rsidP="00184E31">
      <w:pPr>
        <w:spacing w:after="240"/>
        <w:rPr>
          <w:rFonts w:eastAsia="Calibri" w:cs="Times New Roman"/>
          <w:sz w:val="20"/>
          <w:szCs w:val="20"/>
        </w:rPr>
      </w:pPr>
      <w:r>
        <w:rPr>
          <w:rFonts w:eastAsia="Calibri" w:cs="Times New Roman"/>
          <w:sz w:val="20"/>
          <w:szCs w:val="20"/>
        </w:rPr>
        <w:t>Thank you for your consideration of my/our letter. Please stand up for me/us and other patients in your district/state who have benefitted from proton therapy.</w:t>
      </w:r>
    </w:p>
    <w:p w:rsidR="00417205" w:rsidRDefault="00417205">
      <w:bookmarkStart w:id="0" w:name="_GoBack"/>
      <w:bookmarkEnd w:id="0"/>
    </w:p>
    <w:sectPr w:rsidR="00417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31" w:rsidRDefault="00184E31" w:rsidP="00184E31">
      <w:pPr>
        <w:spacing w:after="0" w:line="240" w:lineRule="auto"/>
      </w:pPr>
      <w:r>
        <w:separator/>
      </w:r>
    </w:p>
  </w:endnote>
  <w:endnote w:type="continuationSeparator" w:id="0">
    <w:p w:rsidR="00184E31" w:rsidRDefault="00184E31" w:rsidP="0018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31" w:rsidRDefault="00184E31" w:rsidP="00184E31">
      <w:pPr>
        <w:spacing w:after="0" w:line="240" w:lineRule="auto"/>
      </w:pPr>
      <w:r>
        <w:separator/>
      </w:r>
    </w:p>
  </w:footnote>
  <w:footnote w:type="continuationSeparator" w:id="0">
    <w:p w:rsidR="00184E31" w:rsidRDefault="00184E31" w:rsidP="00184E31">
      <w:pPr>
        <w:spacing w:after="0" w:line="240" w:lineRule="auto"/>
      </w:pPr>
      <w:r>
        <w:continuationSeparator/>
      </w:r>
    </w:p>
  </w:footnote>
  <w:footnote w:id="1">
    <w:p w:rsidR="00184E31" w:rsidRPr="00F61FA2" w:rsidRDefault="00184E31" w:rsidP="00184E31">
      <w:pPr>
        <w:pStyle w:val="FootnoteText"/>
        <w:tabs>
          <w:tab w:val="left" w:pos="180"/>
        </w:tabs>
        <w:spacing w:after="40"/>
        <w:ind w:left="180" w:hanging="180"/>
        <w:rPr>
          <w:rFonts w:cs="Times New Roman"/>
          <w:sz w:val="19"/>
          <w:szCs w:val="19"/>
        </w:rPr>
      </w:pPr>
      <w:r w:rsidRPr="00F61FA2">
        <w:rPr>
          <w:rStyle w:val="FootnoteReference"/>
          <w:rFonts w:cs="Times New Roman"/>
          <w:sz w:val="19"/>
          <w:szCs w:val="19"/>
        </w:rPr>
        <w:footnoteRef/>
      </w:r>
      <w:r w:rsidRPr="00F61FA2">
        <w:rPr>
          <w:rFonts w:cs="Times New Roman"/>
          <w:sz w:val="19"/>
          <w:szCs w:val="19"/>
        </w:rPr>
        <w:t xml:space="preserve"> </w:t>
      </w:r>
      <w:r w:rsidRPr="00F61FA2">
        <w:rPr>
          <w:rFonts w:cs="Times New Roman"/>
          <w:sz w:val="19"/>
          <w:szCs w:val="19"/>
        </w:rPr>
        <w:tab/>
      </w:r>
      <w:proofErr w:type="spellStart"/>
      <w:r w:rsidRPr="00F61FA2">
        <w:rPr>
          <w:rFonts w:cs="Times New Roman"/>
          <w:sz w:val="19"/>
          <w:szCs w:val="19"/>
        </w:rPr>
        <w:t>Ollendorf</w:t>
      </w:r>
      <w:proofErr w:type="spellEnd"/>
      <w:r w:rsidRPr="00F61FA2">
        <w:rPr>
          <w:rFonts w:cs="Times New Roman"/>
          <w:sz w:val="19"/>
          <w:szCs w:val="19"/>
        </w:rPr>
        <w:t>, D. A., J. A. Colby, and S. D. Pearson. 2014. Proton beam therapy. Report prepared by the Institute for Clinical and Economic Review for the Health Technology Assessment Program, Washington State Health Care Authority. Olympia, WA: Washington State Health Care Authority. (Link)</w:t>
      </w:r>
    </w:p>
  </w:footnote>
  <w:footnote w:id="2">
    <w:p w:rsidR="00184E31" w:rsidRPr="00F61FA2" w:rsidRDefault="00184E31" w:rsidP="00184E31">
      <w:pPr>
        <w:pStyle w:val="FootnoteText"/>
        <w:tabs>
          <w:tab w:val="left" w:pos="180"/>
        </w:tabs>
        <w:spacing w:after="40"/>
        <w:ind w:left="180" w:hanging="180"/>
        <w:rPr>
          <w:rFonts w:cs="Times New Roman"/>
          <w:sz w:val="19"/>
          <w:szCs w:val="19"/>
        </w:rPr>
      </w:pPr>
      <w:r w:rsidRPr="00F61FA2">
        <w:rPr>
          <w:rStyle w:val="FootnoteReference"/>
          <w:rFonts w:cs="Times New Roman"/>
          <w:sz w:val="19"/>
          <w:szCs w:val="19"/>
        </w:rPr>
        <w:footnoteRef/>
      </w:r>
      <w:r w:rsidRPr="00F61FA2">
        <w:rPr>
          <w:rFonts w:cs="Times New Roman"/>
          <w:sz w:val="19"/>
          <w:szCs w:val="19"/>
        </w:rPr>
        <w:t xml:space="preserve"> </w:t>
      </w:r>
      <w:r w:rsidRPr="00F61FA2">
        <w:rPr>
          <w:rFonts w:cs="Times New Roman"/>
          <w:sz w:val="19"/>
          <w:szCs w:val="19"/>
        </w:rPr>
        <w:tab/>
        <w:t>Medicare Payment Advisory Committee. Report to the Congress: Medicare and the Health Care Delivery System. Chapter 10, 2018. (Link)</w:t>
      </w:r>
    </w:p>
  </w:footnote>
  <w:footnote w:id="3">
    <w:p w:rsidR="00184E31" w:rsidRDefault="00184E31" w:rsidP="00184E31">
      <w:pPr>
        <w:pStyle w:val="FootnoteText"/>
        <w:tabs>
          <w:tab w:val="left" w:pos="180"/>
        </w:tabs>
        <w:spacing w:after="40"/>
        <w:ind w:left="187" w:hanging="187"/>
        <w:rPr>
          <w:rFonts w:cs="Times New Roman"/>
          <w:sz w:val="19"/>
          <w:szCs w:val="19"/>
        </w:rPr>
      </w:pPr>
      <w:r w:rsidRPr="00F61FA2">
        <w:rPr>
          <w:rStyle w:val="FootnoteReference"/>
          <w:rFonts w:cs="Times New Roman"/>
          <w:sz w:val="19"/>
          <w:szCs w:val="19"/>
        </w:rPr>
        <w:footnoteRef/>
      </w:r>
      <w:r w:rsidRPr="00F61FA2">
        <w:rPr>
          <w:rFonts w:cs="Times New Roman"/>
          <w:sz w:val="19"/>
          <w:szCs w:val="19"/>
        </w:rPr>
        <w:t xml:space="preserve"> </w:t>
      </w:r>
      <w:r w:rsidRPr="00F61FA2">
        <w:rPr>
          <w:rFonts w:cs="Times New Roman"/>
          <w:sz w:val="19"/>
          <w:szCs w:val="19"/>
        </w:rPr>
        <w:tab/>
        <w:t xml:space="preserve">Chung CS, </w:t>
      </w:r>
      <w:proofErr w:type="spellStart"/>
      <w:r w:rsidRPr="00F61FA2">
        <w:rPr>
          <w:rFonts w:cs="Times New Roman"/>
          <w:sz w:val="19"/>
          <w:szCs w:val="19"/>
        </w:rPr>
        <w:t>Yock</w:t>
      </w:r>
      <w:proofErr w:type="spellEnd"/>
      <w:r w:rsidRPr="00F61FA2">
        <w:rPr>
          <w:rFonts w:cs="Times New Roman"/>
          <w:sz w:val="19"/>
          <w:szCs w:val="19"/>
        </w:rPr>
        <w:t xml:space="preserve"> TI, Nelson K, et al. Incidence of second malignancies among patients treated with proton versus photon radiation. </w:t>
      </w:r>
      <w:proofErr w:type="spellStart"/>
      <w:r w:rsidRPr="00F61FA2">
        <w:rPr>
          <w:rFonts w:cs="Times New Roman"/>
          <w:i/>
          <w:sz w:val="19"/>
          <w:szCs w:val="19"/>
        </w:rPr>
        <w:t>Int</w:t>
      </w:r>
      <w:proofErr w:type="spellEnd"/>
      <w:r w:rsidRPr="00F61FA2">
        <w:rPr>
          <w:rFonts w:cs="Times New Roman"/>
          <w:i/>
          <w:sz w:val="19"/>
          <w:szCs w:val="19"/>
        </w:rPr>
        <w:t xml:space="preserve"> J </w:t>
      </w:r>
      <w:proofErr w:type="spellStart"/>
      <w:r w:rsidRPr="00F61FA2">
        <w:rPr>
          <w:rFonts w:cs="Times New Roman"/>
          <w:i/>
          <w:sz w:val="19"/>
          <w:szCs w:val="19"/>
        </w:rPr>
        <w:t>Radiat</w:t>
      </w:r>
      <w:proofErr w:type="spellEnd"/>
      <w:r w:rsidRPr="00F61FA2">
        <w:rPr>
          <w:rFonts w:cs="Times New Roman"/>
          <w:i/>
          <w:sz w:val="19"/>
          <w:szCs w:val="19"/>
        </w:rPr>
        <w:t xml:space="preserve"> </w:t>
      </w:r>
      <w:proofErr w:type="spellStart"/>
      <w:r w:rsidRPr="00F61FA2">
        <w:rPr>
          <w:rFonts w:cs="Times New Roman"/>
          <w:i/>
          <w:sz w:val="19"/>
          <w:szCs w:val="19"/>
        </w:rPr>
        <w:t>Oncol</w:t>
      </w:r>
      <w:proofErr w:type="spellEnd"/>
      <w:r w:rsidRPr="00F61FA2">
        <w:rPr>
          <w:rFonts w:cs="Times New Roman"/>
          <w:i/>
          <w:sz w:val="19"/>
          <w:szCs w:val="19"/>
        </w:rPr>
        <w:t xml:space="preserve"> </w:t>
      </w:r>
      <w:proofErr w:type="spellStart"/>
      <w:r w:rsidRPr="00F61FA2">
        <w:rPr>
          <w:rFonts w:cs="Times New Roman"/>
          <w:i/>
          <w:sz w:val="19"/>
          <w:szCs w:val="19"/>
        </w:rPr>
        <w:t>Biol</w:t>
      </w:r>
      <w:proofErr w:type="spellEnd"/>
      <w:r w:rsidRPr="00F61FA2">
        <w:rPr>
          <w:rFonts w:cs="Times New Roman"/>
          <w:i/>
          <w:sz w:val="19"/>
          <w:szCs w:val="19"/>
        </w:rPr>
        <w:t xml:space="preserve"> Phys</w:t>
      </w:r>
      <w:r w:rsidRPr="00F61FA2">
        <w:rPr>
          <w:rFonts w:cs="Times New Roman"/>
          <w:sz w:val="19"/>
          <w:szCs w:val="19"/>
        </w:rPr>
        <w:t xml:space="preserve"> 2013 Sep 1</w:t>
      </w:r>
      <w:proofErr w:type="gramStart"/>
      <w:r w:rsidRPr="00F61FA2">
        <w:rPr>
          <w:rFonts w:cs="Times New Roman"/>
          <w:sz w:val="19"/>
          <w:szCs w:val="19"/>
        </w:rPr>
        <w:t>;87</w:t>
      </w:r>
      <w:proofErr w:type="gramEnd"/>
      <w:r w:rsidRPr="00F61FA2">
        <w:rPr>
          <w:rFonts w:cs="Times New Roman"/>
          <w:sz w:val="19"/>
          <w:szCs w:val="19"/>
        </w:rPr>
        <w:t>(1):46-52.</w:t>
      </w:r>
    </w:p>
    <w:p w:rsidR="00184E31" w:rsidRDefault="00184E31" w:rsidP="00184E31">
      <w:pPr>
        <w:pStyle w:val="FootnoteText"/>
        <w:tabs>
          <w:tab w:val="left" w:pos="180"/>
        </w:tabs>
        <w:spacing w:after="40"/>
        <w:ind w:left="187" w:hanging="187"/>
        <w:rPr>
          <w:rFonts w:cs="Times New Roman"/>
          <w:sz w:val="19"/>
          <w:szCs w:val="19"/>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p w:rsidR="00184E31" w:rsidRPr="009C4B00" w:rsidRDefault="00184E31" w:rsidP="00184E31">
      <w:pPr>
        <w:pStyle w:val="FootnoteText"/>
        <w:tabs>
          <w:tab w:val="left" w:pos="180"/>
        </w:tabs>
        <w:spacing w:after="40"/>
        <w:ind w:left="187" w:hanging="187"/>
        <w:rPr>
          <w:rFonts w:asciiTheme="minorHAnsi" w:hAnsiTheme="minorHAnsi" w:cstheme="minorHAnsi"/>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00EE9"/>
    <w:multiLevelType w:val="hybridMultilevel"/>
    <w:tmpl w:val="869A68E2"/>
    <w:lvl w:ilvl="0" w:tplc="FEE09FD6">
      <w:start w:val="1"/>
      <w:numFmt w:val="bullet"/>
      <w:lvlText w:val=" "/>
      <w:lvlJc w:val="left"/>
      <w:pPr>
        <w:tabs>
          <w:tab w:val="num" w:pos="1350"/>
        </w:tabs>
        <w:ind w:left="1350" w:hanging="360"/>
      </w:pPr>
      <w:rPr>
        <w:rFonts w:ascii="Calibri" w:hAnsi="Calibri" w:hint="default"/>
      </w:rPr>
    </w:lvl>
    <w:lvl w:ilvl="1" w:tplc="63B8EB7C" w:tentative="1">
      <w:start w:val="1"/>
      <w:numFmt w:val="bullet"/>
      <w:lvlText w:val=" "/>
      <w:lvlJc w:val="left"/>
      <w:pPr>
        <w:tabs>
          <w:tab w:val="num" w:pos="2070"/>
        </w:tabs>
        <w:ind w:left="2070" w:hanging="360"/>
      </w:pPr>
      <w:rPr>
        <w:rFonts w:ascii="Calibri" w:hAnsi="Calibri" w:hint="default"/>
      </w:rPr>
    </w:lvl>
    <w:lvl w:ilvl="2" w:tplc="73D89D66" w:tentative="1">
      <w:start w:val="1"/>
      <w:numFmt w:val="bullet"/>
      <w:lvlText w:val=" "/>
      <w:lvlJc w:val="left"/>
      <w:pPr>
        <w:tabs>
          <w:tab w:val="num" w:pos="2790"/>
        </w:tabs>
        <w:ind w:left="2790" w:hanging="360"/>
      </w:pPr>
      <w:rPr>
        <w:rFonts w:ascii="Calibri" w:hAnsi="Calibri" w:hint="default"/>
      </w:rPr>
    </w:lvl>
    <w:lvl w:ilvl="3" w:tplc="C6F08B98" w:tentative="1">
      <w:start w:val="1"/>
      <w:numFmt w:val="bullet"/>
      <w:lvlText w:val=" "/>
      <w:lvlJc w:val="left"/>
      <w:pPr>
        <w:tabs>
          <w:tab w:val="num" w:pos="3510"/>
        </w:tabs>
        <w:ind w:left="3510" w:hanging="360"/>
      </w:pPr>
      <w:rPr>
        <w:rFonts w:ascii="Calibri" w:hAnsi="Calibri" w:hint="default"/>
      </w:rPr>
    </w:lvl>
    <w:lvl w:ilvl="4" w:tplc="D1B4A376" w:tentative="1">
      <w:start w:val="1"/>
      <w:numFmt w:val="bullet"/>
      <w:lvlText w:val=" "/>
      <w:lvlJc w:val="left"/>
      <w:pPr>
        <w:tabs>
          <w:tab w:val="num" w:pos="4230"/>
        </w:tabs>
        <w:ind w:left="4230" w:hanging="360"/>
      </w:pPr>
      <w:rPr>
        <w:rFonts w:ascii="Calibri" w:hAnsi="Calibri" w:hint="default"/>
      </w:rPr>
    </w:lvl>
    <w:lvl w:ilvl="5" w:tplc="6C6E1504" w:tentative="1">
      <w:start w:val="1"/>
      <w:numFmt w:val="bullet"/>
      <w:lvlText w:val=" "/>
      <w:lvlJc w:val="left"/>
      <w:pPr>
        <w:tabs>
          <w:tab w:val="num" w:pos="4950"/>
        </w:tabs>
        <w:ind w:left="4950" w:hanging="360"/>
      </w:pPr>
      <w:rPr>
        <w:rFonts w:ascii="Calibri" w:hAnsi="Calibri" w:hint="default"/>
      </w:rPr>
    </w:lvl>
    <w:lvl w:ilvl="6" w:tplc="8A509FA2" w:tentative="1">
      <w:start w:val="1"/>
      <w:numFmt w:val="bullet"/>
      <w:lvlText w:val=" "/>
      <w:lvlJc w:val="left"/>
      <w:pPr>
        <w:tabs>
          <w:tab w:val="num" w:pos="5670"/>
        </w:tabs>
        <w:ind w:left="5670" w:hanging="360"/>
      </w:pPr>
      <w:rPr>
        <w:rFonts w:ascii="Calibri" w:hAnsi="Calibri" w:hint="default"/>
      </w:rPr>
    </w:lvl>
    <w:lvl w:ilvl="7" w:tplc="761EC93C" w:tentative="1">
      <w:start w:val="1"/>
      <w:numFmt w:val="bullet"/>
      <w:lvlText w:val=" "/>
      <w:lvlJc w:val="left"/>
      <w:pPr>
        <w:tabs>
          <w:tab w:val="num" w:pos="6390"/>
        </w:tabs>
        <w:ind w:left="6390" w:hanging="360"/>
      </w:pPr>
      <w:rPr>
        <w:rFonts w:ascii="Calibri" w:hAnsi="Calibri" w:hint="default"/>
      </w:rPr>
    </w:lvl>
    <w:lvl w:ilvl="8" w:tplc="945C0C16" w:tentative="1">
      <w:start w:val="1"/>
      <w:numFmt w:val="bullet"/>
      <w:lvlText w:val=" "/>
      <w:lvlJc w:val="left"/>
      <w:pPr>
        <w:tabs>
          <w:tab w:val="num" w:pos="7110"/>
        </w:tabs>
        <w:ind w:left="7110" w:hanging="3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31"/>
    <w:rsid w:val="00184E31"/>
    <w:rsid w:val="0041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54A72-4BFA-4B1D-8672-6C5009E9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E31"/>
    <w:pPr>
      <w:ind w:left="720"/>
      <w:contextualSpacing/>
    </w:pPr>
  </w:style>
  <w:style w:type="paragraph" w:styleId="NoSpacing">
    <w:name w:val="No Spacing"/>
    <w:basedOn w:val="Normal"/>
    <w:qFormat/>
    <w:rsid w:val="00184E31"/>
    <w:pPr>
      <w:spacing w:after="0" w:line="240" w:lineRule="auto"/>
      <w:jc w:val="both"/>
    </w:pPr>
    <w:rPr>
      <w:rFonts w:ascii="Times New Roman" w:hAnsi="Times New Roman"/>
      <w:sz w:val="24"/>
    </w:rPr>
  </w:style>
  <w:style w:type="paragraph" w:styleId="FootnoteText">
    <w:name w:val="footnote text"/>
    <w:basedOn w:val="Normal"/>
    <w:link w:val="FootnoteTextChar"/>
    <w:uiPriority w:val="99"/>
    <w:rsid w:val="00184E3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84E31"/>
    <w:rPr>
      <w:rFonts w:ascii="Times New Roman" w:hAnsi="Times New Roman"/>
      <w:sz w:val="20"/>
      <w:szCs w:val="20"/>
    </w:rPr>
  </w:style>
  <w:style w:type="character" w:styleId="FootnoteReference">
    <w:name w:val="footnote reference"/>
    <w:basedOn w:val="DefaultParagraphFont"/>
    <w:uiPriority w:val="99"/>
    <w:rsid w:val="00184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Makrush</dc:creator>
  <cp:keywords/>
  <dc:description/>
  <cp:lastModifiedBy>Theresa Makrush</cp:lastModifiedBy>
  <cp:revision>1</cp:revision>
  <dcterms:created xsi:type="dcterms:W3CDTF">2019-09-27T20:09:00Z</dcterms:created>
  <dcterms:modified xsi:type="dcterms:W3CDTF">2019-09-27T20:10:00Z</dcterms:modified>
</cp:coreProperties>
</file>